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5586" w14:textId="7DBAB3D6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A61E53">
        <w:rPr>
          <w:rFonts w:ascii="Times New Roman" w:hAnsi="Times New Roman" w:cs="Times New Roman"/>
          <w:b/>
          <w:color w:val="auto"/>
        </w:rPr>
        <w:t>amera dei deputati</w:t>
      </w:r>
    </w:p>
    <w:p w14:paraId="5828E10D" w14:textId="65FD4B92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AC</w:t>
      </w:r>
      <w:r w:rsidR="00F87882">
        <w:rPr>
          <w:rFonts w:ascii="Times New Roman" w:hAnsi="Times New Roman" w:cs="Times New Roman"/>
          <w:b/>
          <w:color w:val="auto"/>
        </w:rPr>
        <w:t xml:space="preserve"> 643</w:t>
      </w:r>
    </w:p>
    <w:p w14:paraId="68AF5795" w14:textId="1F2D02E3" w:rsidR="008D78E4" w:rsidRDefault="00F87882" w:rsidP="00F87882">
      <w:pPr>
        <w:jc w:val="center"/>
        <w:rPr>
          <w:rFonts w:cs="Times New Roman"/>
          <w:b/>
          <w:szCs w:val="24"/>
        </w:rPr>
      </w:pPr>
      <w:r w:rsidRPr="00F87882">
        <w:rPr>
          <w:rFonts w:cs="Times New Roman"/>
          <w:b/>
          <w:szCs w:val="24"/>
        </w:rPr>
        <w:t>Bilancio di previsione dello Stato per l’anno finanziario 2023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e bilancio pluriennale per il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triennio 2023-2025</w:t>
      </w:r>
    </w:p>
    <w:p w14:paraId="1F68A21A" w14:textId="77777777" w:rsidR="00F87882" w:rsidRDefault="00F87882" w:rsidP="008D78E4">
      <w:pPr>
        <w:jc w:val="center"/>
        <w:rPr>
          <w:rFonts w:cs="Times New Roman"/>
          <w:b/>
          <w:szCs w:val="24"/>
        </w:rPr>
      </w:pPr>
    </w:p>
    <w:p w14:paraId="26DFF6CC" w14:textId="1CD48114" w:rsidR="008D78E4" w:rsidRDefault="008D78E4" w:rsidP="008D78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Emendamento</w:t>
      </w:r>
    </w:p>
    <w:p w14:paraId="126557A5" w14:textId="77777777" w:rsidR="00F87882" w:rsidRDefault="00F87882" w:rsidP="008D78E4">
      <w:pPr>
        <w:rPr>
          <w:rFonts w:cs="Times New Roman"/>
          <w:szCs w:val="24"/>
        </w:rPr>
      </w:pPr>
    </w:p>
    <w:p w14:paraId="652BA4DB" w14:textId="45B89ED4" w:rsidR="00F87882" w:rsidRDefault="008542C7" w:rsidP="008542C7">
      <w:pPr>
        <w:rPr>
          <w:rFonts w:cs="Times New Roman"/>
          <w:szCs w:val="24"/>
        </w:rPr>
      </w:pPr>
      <w:r>
        <w:rPr>
          <w:rFonts w:cs="Times New Roman"/>
          <w:szCs w:val="24"/>
        </w:rPr>
        <w:t>Dopo l’a</w:t>
      </w:r>
      <w:r w:rsidR="00F87882" w:rsidRPr="00F87882">
        <w:rPr>
          <w:rFonts w:cs="Times New Roman"/>
          <w:szCs w:val="24"/>
        </w:rPr>
        <w:t>rt</w:t>
      </w:r>
      <w:r>
        <w:rPr>
          <w:rFonts w:cs="Times New Roman"/>
          <w:szCs w:val="24"/>
        </w:rPr>
        <w:t>icolo 64, aggiungere il seguente:</w:t>
      </w:r>
    </w:p>
    <w:p w14:paraId="198A5F4A" w14:textId="3CDE355C" w:rsidR="008542C7" w:rsidRPr="00F87882" w:rsidRDefault="008542C7" w:rsidP="008542C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Art. 64-</w:t>
      </w:r>
      <w:r w:rsidRPr="008542C7">
        <w:rPr>
          <w:rFonts w:cs="Times New Roman"/>
          <w:i/>
          <w:iCs/>
          <w:szCs w:val="24"/>
        </w:rPr>
        <w:t>bis</w:t>
      </w:r>
      <w:r>
        <w:rPr>
          <w:rFonts w:cs="Times New Roman"/>
          <w:szCs w:val="24"/>
        </w:rPr>
        <w:t>.</w:t>
      </w:r>
    </w:p>
    <w:p w14:paraId="361E0CF8" w14:textId="27FE1BF3" w:rsidR="00F87882" w:rsidRDefault="00F87882" w:rsidP="00F87882">
      <w:pPr>
        <w:jc w:val="center"/>
        <w:rPr>
          <w:rFonts w:cs="Times New Roman"/>
          <w:szCs w:val="24"/>
        </w:rPr>
      </w:pPr>
      <w:r w:rsidRPr="00F87882">
        <w:rPr>
          <w:rFonts w:cs="Times New Roman"/>
          <w:szCs w:val="24"/>
        </w:rPr>
        <w:t>(</w:t>
      </w:r>
      <w:r w:rsidR="008542C7">
        <w:rPr>
          <w:rFonts w:cs="Times New Roman"/>
          <w:i/>
          <w:iCs/>
          <w:szCs w:val="24"/>
        </w:rPr>
        <w:t>Innalzamento dei limiti per la non concorrenza delle indennità di trasferta alla determinazione del reddito di lavoro dipendente</w:t>
      </w:r>
      <w:r w:rsidRPr="00F87882">
        <w:rPr>
          <w:rFonts w:cs="Times New Roman"/>
          <w:szCs w:val="24"/>
        </w:rPr>
        <w:t>)</w:t>
      </w:r>
    </w:p>
    <w:p w14:paraId="138406AB" w14:textId="087AE6EC" w:rsidR="00A23E71" w:rsidRPr="006065DE" w:rsidRDefault="008542C7" w:rsidP="006065DE">
      <w:pPr>
        <w:rPr>
          <w:rFonts w:cs="Times New Roman"/>
        </w:rPr>
      </w:pPr>
      <w:r>
        <w:rPr>
          <w:rFonts w:cs="Times New Roman"/>
          <w:szCs w:val="24"/>
        </w:rPr>
        <w:t>All’</w:t>
      </w:r>
      <w:r w:rsidR="006065DE" w:rsidRPr="006065DE">
        <w:rPr>
          <w:rFonts w:cs="Times New Roman"/>
        </w:rPr>
        <w:t>articolo</w:t>
      </w:r>
      <w:r w:rsidR="006065DE">
        <w:rPr>
          <w:rFonts w:cs="Times New Roman"/>
        </w:rPr>
        <w:t xml:space="preserve"> </w:t>
      </w:r>
      <w:r w:rsidR="00FC0507">
        <w:rPr>
          <w:rFonts w:cs="Times New Roman"/>
        </w:rPr>
        <w:t>51</w:t>
      </w:r>
      <w:r w:rsidR="006065DE" w:rsidRPr="006065DE">
        <w:rPr>
          <w:rFonts w:cs="Times New Roman"/>
        </w:rPr>
        <w:t xml:space="preserve">, </w:t>
      </w:r>
      <w:proofErr w:type="gramStart"/>
      <w:r w:rsidR="006065DE" w:rsidRPr="006065DE">
        <w:rPr>
          <w:rFonts w:cs="Times New Roman"/>
        </w:rPr>
        <w:t xml:space="preserve">comma  </w:t>
      </w:r>
      <w:r w:rsidR="00FC0507">
        <w:rPr>
          <w:rFonts w:cs="Times New Roman"/>
        </w:rPr>
        <w:t>5</w:t>
      </w:r>
      <w:proofErr w:type="gramEnd"/>
      <w:r w:rsidR="006065DE" w:rsidRPr="006065DE">
        <w:rPr>
          <w:rFonts w:cs="Times New Roman"/>
        </w:rPr>
        <w:t>,</w:t>
      </w:r>
      <w:r w:rsidR="006065DE">
        <w:rPr>
          <w:rFonts w:cs="Times New Roman"/>
        </w:rPr>
        <w:t xml:space="preserve"> </w:t>
      </w:r>
      <w:r>
        <w:rPr>
          <w:rFonts w:cs="Times New Roman"/>
        </w:rPr>
        <w:t>primo periodo</w:t>
      </w:r>
      <w:r w:rsidR="006065DE">
        <w:rPr>
          <w:rFonts w:cs="Times New Roman"/>
        </w:rPr>
        <w:t xml:space="preserve">, </w:t>
      </w:r>
      <w:r w:rsidRPr="008542C7">
        <w:rPr>
          <w:rFonts w:cs="Times New Roman"/>
        </w:rPr>
        <w:t>del testo unico delle</w:t>
      </w:r>
      <w:r>
        <w:rPr>
          <w:rFonts w:cs="Times New Roman"/>
        </w:rPr>
        <w:t xml:space="preserve"> </w:t>
      </w:r>
      <w:r w:rsidRPr="008542C7">
        <w:rPr>
          <w:rFonts w:cs="Times New Roman"/>
        </w:rPr>
        <w:t>imposte sui redditi, di cui al decreto del</w:t>
      </w:r>
      <w:r>
        <w:rPr>
          <w:rFonts w:cs="Times New Roman"/>
        </w:rPr>
        <w:t xml:space="preserve"> </w:t>
      </w:r>
      <w:r w:rsidRPr="008542C7">
        <w:rPr>
          <w:rFonts w:cs="Times New Roman"/>
        </w:rPr>
        <w:t>Presidente della Repubblica 22 dicembre</w:t>
      </w:r>
      <w:r>
        <w:rPr>
          <w:rFonts w:cs="Times New Roman"/>
        </w:rPr>
        <w:t xml:space="preserve"> </w:t>
      </w:r>
      <w:r w:rsidRPr="008542C7">
        <w:rPr>
          <w:rFonts w:cs="Times New Roman"/>
        </w:rPr>
        <w:t>1986, n. 917,</w:t>
      </w:r>
      <w:r w:rsidR="00FA2275">
        <w:rPr>
          <w:rFonts w:cs="Times New Roman"/>
        </w:rPr>
        <w:t xml:space="preserve"> le parole: «</w:t>
      </w:r>
      <w:r w:rsidR="00FA2275" w:rsidRPr="00FA2275">
        <w:rPr>
          <w:rFonts w:cs="Times New Roman"/>
        </w:rPr>
        <w:t>lire 90.000 al giorno, elevate  a lire</w:t>
      </w:r>
      <w:r w:rsidR="00FA2275">
        <w:rPr>
          <w:rFonts w:cs="Times New Roman"/>
        </w:rPr>
        <w:t xml:space="preserve"> </w:t>
      </w:r>
      <w:r w:rsidR="00FA2275" w:rsidRPr="00FA2275">
        <w:rPr>
          <w:rFonts w:cs="Times New Roman"/>
        </w:rPr>
        <w:t>150.000</w:t>
      </w:r>
      <w:r w:rsidR="00FA2275">
        <w:rPr>
          <w:rFonts w:cs="Times New Roman"/>
        </w:rPr>
        <w:t>» sono sostituite dalle seguenti: «euro 60 al giorno, elevate ad euro</w:t>
      </w:r>
      <w:r w:rsidR="004E36EA">
        <w:rPr>
          <w:rFonts w:cs="Times New Roman"/>
        </w:rPr>
        <w:t xml:space="preserve"> </w:t>
      </w:r>
      <w:r w:rsidR="00FA2275">
        <w:rPr>
          <w:rFonts w:cs="Times New Roman"/>
        </w:rPr>
        <w:t>100</w:t>
      </w:r>
      <w:r w:rsidR="00244F53">
        <w:rPr>
          <w:rFonts w:cs="Times New Roman"/>
        </w:rPr>
        <w:t>»</w:t>
      </w:r>
      <w:r w:rsidR="00FA2275">
        <w:t>.</w:t>
      </w:r>
    </w:p>
    <w:p w14:paraId="43E2D887" w14:textId="77777777" w:rsidR="006065DE" w:rsidRDefault="006065DE">
      <w:pPr>
        <w:rPr>
          <w:b/>
          <w:bCs/>
        </w:rPr>
      </w:pPr>
      <w:r>
        <w:rPr>
          <w:b/>
          <w:bCs/>
        </w:rPr>
        <w:br w:type="page"/>
      </w:r>
    </w:p>
    <w:p w14:paraId="755D908E" w14:textId="3B870A74" w:rsidR="00C16C2D" w:rsidRPr="00A02DE5" w:rsidRDefault="00A02DE5" w:rsidP="00A23E71">
      <w:pPr>
        <w:jc w:val="center"/>
        <w:rPr>
          <w:rFonts w:cs="Times New Roman"/>
          <w:b/>
          <w:bCs/>
          <w:szCs w:val="24"/>
        </w:rPr>
      </w:pPr>
      <w:r w:rsidRPr="00A02DE5">
        <w:rPr>
          <w:rFonts w:cs="Times New Roman"/>
          <w:b/>
          <w:bCs/>
          <w:szCs w:val="24"/>
        </w:rPr>
        <w:lastRenderedPageBreak/>
        <w:t>Innalzamento dei limiti per la non concorrenza delle indennità di trasferta alla determinazione del reddito di lavoro dipendente</w:t>
      </w:r>
    </w:p>
    <w:p w14:paraId="46A8D42A" w14:textId="77777777" w:rsidR="00A02DE5" w:rsidRDefault="00A02DE5" w:rsidP="00A23E71">
      <w:pPr>
        <w:jc w:val="center"/>
      </w:pPr>
    </w:p>
    <w:p w14:paraId="2558397C" w14:textId="7E6B4C5D" w:rsidR="00A23E71" w:rsidRPr="00D942EB" w:rsidRDefault="00A23E71" w:rsidP="00A23E71">
      <w:pPr>
        <w:jc w:val="center"/>
        <w:rPr>
          <w:b/>
          <w:bCs/>
        </w:rPr>
      </w:pPr>
      <w:r w:rsidRPr="00D942EB">
        <w:rPr>
          <w:b/>
          <w:bCs/>
        </w:rPr>
        <w:t>Motivazione</w:t>
      </w:r>
    </w:p>
    <w:p w14:paraId="3746781D" w14:textId="2B6CA753" w:rsidR="00DA3417" w:rsidRDefault="003C66E8" w:rsidP="00F7706A">
      <w:r>
        <w:t>Come noto, l</w:t>
      </w:r>
      <w:r w:rsidRPr="003C66E8">
        <w:t>a trasferta fa sorgere in capo al lavoratore il diritto a ristori integrativi che si sommano all’ordinaria retribuzione</w:t>
      </w:r>
      <w:r>
        <w:t>. Ecco allora che l</w:t>
      </w:r>
      <w:r w:rsidR="00FA2275" w:rsidRPr="00FA2275">
        <w:t>a</w:t>
      </w:r>
      <w:r w:rsidR="00FA2275">
        <w:t xml:space="preserve"> presente proposta emendativa punta ad innalzare i limiti </w:t>
      </w:r>
      <w:r w:rsidR="0096469A">
        <w:t xml:space="preserve">normativamente previsti </w:t>
      </w:r>
      <w:r w:rsidR="00FA2275">
        <w:t>per la non concorrenza dell</w:t>
      </w:r>
      <w:r>
        <w:t>a</w:t>
      </w:r>
      <w:r w:rsidR="00FA2275">
        <w:t xml:space="preserve"> indennità di trasferta </w:t>
      </w:r>
      <w:r>
        <w:t>(</w:t>
      </w:r>
      <w:r w:rsidR="0096469A">
        <w:t>o missione</w:t>
      </w:r>
      <w:r>
        <w:t>)</w:t>
      </w:r>
      <w:r w:rsidR="0096469A">
        <w:t xml:space="preserve"> </w:t>
      </w:r>
      <w:r w:rsidR="00FA2275">
        <w:t xml:space="preserve">alla determinazione del </w:t>
      </w:r>
      <w:r w:rsidR="0096469A">
        <w:t xml:space="preserve">reddito </w:t>
      </w:r>
      <w:r w:rsidR="00FA2275">
        <w:t>d</w:t>
      </w:r>
      <w:r w:rsidR="0096469A">
        <w:t>a</w:t>
      </w:r>
      <w:r w:rsidR="00FA2275">
        <w:t xml:space="preserve"> lavoro dipendente. Per cui, in caso di approvazione dell’emendamento, a far data dal 1° gennaio 2023, </w:t>
      </w:r>
      <w:r w:rsidR="0096469A">
        <w:t xml:space="preserve">gli importi massimi </w:t>
      </w:r>
      <w:r w:rsidR="00FA2275">
        <w:t>fissat</w:t>
      </w:r>
      <w:r w:rsidR="0096469A">
        <w:t>i</w:t>
      </w:r>
      <w:r w:rsidR="00FA2275">
        <w:t xml:space="preserve"> dall’art. 51, co. 5, del Tuir, verrebbero</w:t>
      </w:r>
      <w:r w:rsidR="0096469A">
        <w:t xml:space="preserve"> così rimodulati</w:t>
      </w:r>
      <w:r w:rsidR="00FA2275">
        <w:t xml:space="preserve">: </w:t>
      </w:r>
      <w:r w:rsidR="0096469A" w:rsidRPr="0096469A">
        <w:rPr>
          <w:i/>
          <w:iCs/>
        </w:rPr>
        <w:t>a</w:t>
      </w:r>
      <w:r w:rsidR="0096469A">
        <w:t xml:space="preserve">) </w:t>
      </w:r>
      <w:r w:rsidR="00FA2275">
        <w:t xml:space="preserve">euro 60 </w:t>
      </w:r>
      <w:r w:rsidR="0096469A">
        <w:t xml:space="preserve">per le trasferte effettuate </w:t>
      </w:r>
      <w:r w:rsidR="00FA2275">
        <w:t>fuori dal territorio comunale</w:t>
      </w:r>
      <w:r w:rsidR="00A32DA6">
        <w:t xml:space="preserve"> (in luogo degli attuali euro </w:t>
      </w:r>
      <w:r w:rsidR="00A32DA6" w:rsidRPr="00A32DA6">
        <w:t>46,48</w:t>
      </w:r>
      <w:r w:rsidR="00A32DA6">
        <w:t>)</w:t>
      </w:r>
      <w:r w:rsidR="00FA2275">
        <w:t xml:space="preserve">; </w:t>
      </w:r>
      <w:r w:rsidR="0096469A" w:rsidRPr="0096469A">
        <w:rPr>
          <w:i/>
          <w:iCs/>
        </w:rPr>
        <w:t>b</w:t>
      </w:r>
      <w:r w:rsidR="0096469A">
        <w:t xml:space="preserve">) </w:t>
      </w:r>
      <w:r w:rsidR="00FA2275">
        <w:t xml:space="preserve">euro 100 </w:t>
      </w:r>
      <w:r w:rsidR="0096469A">
        <w:t xml:space="preserve">per quelle effettuate </w:t>
      </w:r>
      <w:r w:rsidR="00FA2275">
        <w:t>all’estero</w:t>
      </w:r>
      <w:r w:rsidR="00A32DA6">
        <w:t xml:space="preserve"> (in luogo degli attuali </w:t>
      </w:r>
      <w:r w:rsidR="00A32DA6" w:rsidRPr="00A32DA6">
        <w:t>77,46</w:t>
      </w:r>
      <w:r w:rsidR="00A32DA6">
        <w:t>)</w:t>
      </w:r>
      <w:r w:rsidR="00FA2275">
        <w:t>.</w:t>
      </w:r>
      <w:r w:rsidR="008523EE">
        <w:t xml:space="preserve"> Nei fatti, atteso il tasso </w:t>
      </w:r>
      <w:r>
        <w:t xml:space="preserve">fisso </w:t>
      </w:r>
      <w:r w:rsidR="008523EE">
        <w:t xml:space="preserve">di cambio lira-euro, si tratterebbe di praticare un aumento inferiore al 25 per cento </w:t>
      </w:r>
      <w:r w:rsidR="00DF6564">
        <w:t>delle</w:t>
      </w:r>
      <w:r w:rsidR="00A32DA6">
        <w:t xml:space="preserve"> </w:t>
      </w:r>
      <w:r w:rsidR="00EE7D1C">
        <w:t>franchigie</w:t>
      </w:r>
      <w:r w:rsidR="00A32DA6">
        <w:t xml:space="preserve"> vigenti</w:t>
      </w:r>
      <w:r w:rsidR="003E6FCA">
        <w:t>.</w:t>
      </w:r>
    </w:p>
    <w:p w14:paraId="751A0C00" w14:textId="1EA61C7E" w:rsidR="00946A05" w:rsidRDefault="0096469A" w:rsidP="00F7706A">
      <w:r>
        <w:t xml:space="preserve">Sotto il profilo </w:t>
      </w:r>
      <w:r w:rsidR="003C66E8">
        <w:t>argomentativo</w:t>
      </w:r>
      <w:r>
        <w:t>, l’aggiornamento</w:t>
      </w:r>
      <w:r w:rsidR="00FA2275">
        <w:t xml:space="preserve"> </w:t>
      </w:r>
      <w:r>
        <w:t>del</w:t>
      </w:r>
      <w:r w:rsidR="00DF6564">
        <w:t xml:space="preserve"> trattamento fiscale e contributivo </w:t>
      </w:r>
      <w:r w:rsidR="003C66E8">
        <w:t>riservato alla</w:t>
      </w:r>
      <w:r w:rsidR="00DF6564">
        <w:t xml:space="preserve"> trasferta </w:t>
      </w:r>
      <w:r w:rsidR="003C66E8">
        <w:t xml:space="preserve">dall’art. 51 del Tuir </w:t>
      </w:r>
      <w:r>
        <w:t xml:space="preserve">costituirebbe una risposta di politica del lavoro per fronteggiare </w:t>
      </w:r>
      <w:r w:rsidR="00FA2275">
        <w:t>l’</w:t>
      </w:r>
      <w:r>
        <w:t>ascesa congiunturale del costo della vita, di modo da sostenere il reddito dei lavoratori</w:t>
      </w:r>
      <w:r w:rsidR="003E6FCA">
        <w:t xml:space="preserve"> dipendenti</w:t>
      </w:r>
      <w:r>
        <w:t xml:space="preserve">. </w:t>
      </w:r>
      <w:r w:rsidR="00946A05">
        <w:t xml:space="preserve">A ben guardare, infatti, l’innalzamento dei </w:t>
      </w:r>
      <w:r w:rsidR="003E6FCA">
        <w:t>“</w:t>
      </w:r>
      <w:r w:rsidR="00946A05">
        <w:t>limiti di non concorrenza</w:t>
      </w:r>
      <w:r w:rsidR="003E6FCA">
        <w:t>”</w:t>
      </w:r>
      <w:r w:rsidR="00946A05">
        <w:t xml:space="preserve"> consentirebbe alle imprese datrici di lavoro a forte ricorso dello “strumento trasferta” (come nell’ipotesi del settore dell’autotrasporto) di risultare in misura minore incise dal costo del lavoro</w:t>
      </w:r>
      <w:r w:rsidR="00EE7D1C">
        <w:t xml:space="preserve"> (soggezione </w:t>
      </w:r>
      <w:r w:rsidR="00EE7D1C" w:rsidRPr="00EE7D1C">
        <w:t>ad imposizione contributiva e fiscale</w:t>
      </w:r>
      <w:r w:rsidR="00EE7D1C">
        <w:t>)</w:t>
      </w:r>
      <w:r w:rsidR="003E6FCA">
        <w:t xml:space="preserve">. Ciò, </w:t>
      </w:r>
      <w:r w:rsidR="00946A05">
        <w:t xml:space="preserve">con un recupero in termini </w:t>
      </w:r>
      <w:r w:rsidR="003E6FCA">
        <w:t xml:space="preserve">di </w:t>
      </w:r>
      <w:r w:rsidR="00946A05">
        <w:t>attrattività professionale</w:t>
      </w:r>
      <w:r w:rsidR="003E6FCA">
        <w:t xml:space="preserve"> </w:t>
      </w:r>
      <w:r w:rsidR="00182A7D">
        <w:t>per</w:t>
      </w:r>
      <w:r w:rsidR="003E6FCA">
        <w:t xml:space="preserve"> alcuni lavori, che, nonostante </w:t>
      </w:r>
      <w:r w:rsidR="003C66E8">
        <w:t xml:space="preserve">la sistematicità degli </w:t>
      </w:r>
      <w:r w:rsidR="00182A7D">
        <w:t xml:space="preserve">spostamenti da </w:t>
      </w:r>
      <w:r w:rsidR="00755D05">
        <w:t xml:space="preserve">effettuare </w:t>
      </w:r>
      <w:r w:rsidR="00182A7D" w:rsidRPr="00182A7D">
        <w:t>per ragioni di servizio</w:t>
      </w:r>
      <w:r w:rsidR="00755D05">
        <w:t xml:space="preserve">, </w:t>
      </w:r>
      <w:r w:rsidR="003C66E8">
        <w:t>che producono</w:t>
      </w:r>
      <w:r w:rsidR="00755D05">
        <w:t xml:space="preserve"> evidenti implicazioni nella vita di relazione</w:t>
      </w:r>
      <w:r w:rsidR="00182A7D">
        <w:t xml:space="preserve">, possono assicurare al lavoratore </w:t>
      </w:r>
      <w:r w:rsidR="003C66E8">
        <w:t>elevati</w:t>
      </w:r>
      <w:r w:rsidR="00182A7D">
        <w:t xml:space="preserve"> </w:t>
      </w:r>
      <w:r w:rsidR="00182A7D" w:rsidRPr="00182A7D">
        <w:rPr>
          <w:i/>
          <w:iCs/>
        </w:rPr>
        <w:t>sta</w:t>
      </w:r>
      <w:r w:rsidR="00182A7D">
        <w:rPr>
          <w:i/>
          <w:iCs/>
        </w:rPr>
        <w:t>n</w:t>
      </w:r>
      <w:r w:rsidR="00182A7D" w:rsidRPr="00182A7D">
        <w:rPr>
          <w:i/>
          <w:iCs/>
        </w:rPr>
        <w:t>dard</w:t>
      </w:r>
      <w:r w:rsidR="00182A7D">
        <w:t xml:space="preserve"> da un punto di vista retributivo.</w:t>
      </w:r>
    </w:p>
    <w:p w14:paraId="12199E4B" w14:textId="6D6991F1" w:rsidR="00946A05" w:rsidRPr="00946A05" w:rsidRDefault="00097D33" w:rsidP="00097D33">
      <w:pPr>
        <w:rPr>
          <w:b/>
          <w:bCs/>
        </w:rPr>
      </w:pPr>
      <w:r w:rsidRPr="00046A83">
        <w:rPr>
          <w:b/>
          <w:bCs/>
        </w:rPr>
        <w:t>La proposta emendativa</w:t>
      </w:r>
      <w:r>
        <w:rPr>
          <w:b/>
          <w:bCs/>
        </w:rPr>
        <w:t xml:space="preserve"> comporta maggiori oneri alle finanze dello Stato di modesta entità.</w:t>
      </w:r>
    </w:p>
    <w:sectPr w:rsidR="00946A05" w:rsidRPr="0094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6BD9"/>
    <w:multiLevelType w:val="hybridMultilevel"/>
    <w:tmpl w:val="3732E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40"/>
    <w:rsid w:val="00046A83"/>
    <w:rsid w:val="00097D33"/>
    <w:rsid w:val="00140E1E"/>
    <w:rsid w:val="00151A61"/>
    <w:rsid w:val="00177C1E"/>
    <w:rsid w:val="00182A7D"/>
    <w:rsid w:val="002077E7"/>
    <w:rsid w:val="00244F53"/>
    <w:rsid w:val="00377034"/>
    <w:rsid w:val="003968EA"/>
    <w:rsid w:val="003C66E8"/>
    <w:rsid w:val="003E6FCA"/>
    <w:rsid w:val="0045706B"/>
    <w:rsid w:val="004E36EA"/>
    <w:rsid w:val="005D7DBA"/>
    <w:rsid w:val="006065DE"/>
    <w:rsid w:val="0070726E"/>
    <w:rsid w:val="00733337"/>
    <w:rsid w:val="00755D05"/>
    <w:rsid w:val="007A579A"/>
    <w:rsid w:val="008523EE"/>
    <w:rsid w:val="008542C7"/>
    <w:rsid w:val="008907F6"/>
    <w:rsid w:val="008D78E4"/>
    <w:rsid w:val="0093255A"/>
    <w:rsid w:val="00946A05"/>
    <w:rsid w:val="0096469A"/>
    <w:rsid w:val="009A3C40"/>
    <w:rsid w:val="009A6EE8"/>
    <w:rsid w:val="009D1DDF"/>
    <w:rsid w:val="00A02DE5"/>
    <w:rsid w:val="00A21089"/>
    <w:rsid w:val="00A23E71"/>
    <w:rsid w:val="00A3101E"/>
    <w:rsid w:val="00A32DA6"/>
    <w:rsid w:val="00A61E53"/>
    <w:rsid w:val="00AA6341"/>
    <w:rsid w:val="00B51E6B"/>
    <w:rsid w:val="00C16C2D"/>
    <w:rsid w:val="00C3593C"/>
    <w:rsid w:val="00C56A36"/>
    <w:rsid w:val="00CF0454"/>
    <w:rsid w:val="00D942EB"/>
    <w:rsid w:val="00DA3417"/>
    <w:rsid w:val="00DB1421"/>
    <w:rsid w:val="00DF6564"/>
    <w:rsid w:val="00E43A6A"/>
    <w:rsid w:val="00E4779D"/>
    <w:rsid w:val="00E62702"/>
    <w:rsid w:val="00E70128"/>
    <w:rsid w:val="00E72188"/>
    <w:rsid w:val="00EA7C00"/>
    <w:rsid w:val="00EE7D1C"/>
    <w:rsid w:val="00F439DD"/>
    <w:rsid w:val="00F7706A"/>
    <w:rsid w:val="00F87882"/>
    <w:rsid w:val="00FA2275"/>
    <w:rsid w:val="00FC050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554"/>
  <w15:chartTrackingRefBased/>
  <w15:docId w15:val="{F33CF7F5-E845-46E3-9303-9086F64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78E4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7019C-2A55-0F4D-A0CA-4AC1C569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sergio barsacchi</cp:lastModifiedBy>
  <cp:revision>2</cp:revision>
  <dcterms:created xsi:type="dcterms:W3CDTF">2022-12-07T11:40:00Z</dcterms:created>
  <dcterms:modified xsi:type="dcterms:W3CDTF">2022-12-07T11:40:00Z</dcterms:modified>
</cp:coreProperties>
</file>